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1B030325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D865A0">
        <w:rPr>
          <w:rFonts w:ascii="Arial" w:eastAsia="Batang" w:hAnsi="Arial" w:cs="Arial"/>
          <w:b/>
          <w:bCs/>
          <w:sz w:val="24"/>
          <w:szCs w:val="24"/>
        </w:rPr>
        <w:t>R1-21</w:t>
      </w:r>
      <w:bookmarkStart w:id="1" w:name="_GoBack"/>
      <w:bookmarkEnd w:id="1"/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A63E33">
        <w:rPr>
          <w:rFonts w:ascii="Arial" w:eastAsia="Batang" w:hAnsi="Arial" w:cs="Arial"/>
          <w:b/>
          <w:bCs/>
          <w:sz w:val="24"/>
          <w:szCs w:val="24"/>
        </w:rPr>
        <w:t>2008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72D22D49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890B51" w:rsidRPr="00E06C2B">
        <w:rPr>
          <w:rFonts w:ascii="Arial" w:hAnsi="Arial" w:cs="Arial"/>
        </w:rPr>
        <w:t>DRAFT</w:t>
      </w:r>
      <w:r w:rsidR="00890B51">
        <w:rPr>
          <w:rFonts w:ascii="Arial" w:hAnsi="Arial" w:cs="Arial"/>
          <w:b/>
        </w:rPr>
        <w:t xml:space="preserve">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>Agreements Pertaining to 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5FFFA14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6C2B">
        <w:rPr>
          <w:rFonts w:ascii="Arial" w:hAnsi="Arial" w:cs="Arial"/>
          <w:bCs/>
        </w:rPr>
        <w:t>Samsung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361C26E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RAN3, </w:t>
      </w:r>
      <w:r w:rsidR="008E333F">
        <w:rPr>
          <w:rFonts w:ascii="Arial" w:hAnsi="Arial" w:cs="Arial"/>
          <w:bCs/>
        </w:rPr>
        <w:t>RAN4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4F5D04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D34688" w:rsidRPr="00A92890">
        <w:t>L1/L2-centric inter-cell mobility</w:t>
      </w:r>
      <w:r w:rsidR="009F0063" w:rsidRPr="00A92890">
        <w:t xml:space="preserve">. 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723F436D" w14:textId="582F2760" w:rsidR="009F0063" w:rsidRPr="00A92890" w:rsidRDefault="009F0063" w:rsidP="007F1A8A">
      <w:pPr>
        <w:snapToGrid w:val="0"/>
        <w:jc w:val="both"/>
      </w:pPr>
      <w:r w:rsidRPr="00A92890">
        <w:t xml:space="preserve">The following </w:t>
      </w:r>
      <w:r w:rsidR="00917097" w:rsidRPr="00A92890">
        <w:t>agreement</w:t>
      </w:r>
      <w:r w:rsidR="00C00B6E" w:rsidRPr="00A92890">
        <w:t>s</w:t>
      </w:r>
      <w:r w:rsidR="00917097" w:rsidRPr="00A92890">
        <w:t xml:space="preserve"> were made </w:t>
      </w:r>
      <w:r w:rsidR="00D34688" w:rsidRPr="00A92890">
        <w:t>in RAN1 #102</w:t>
      </w:r>
      <w:r w:rsidR="00C00B6E" w:rsidRPr="00A92890">
        <w:t>-e</w:t>
      </w:r>
      <w:r w:rsidR="00D34688" w:rsidRPr="00A92890">
        <w:t>, #103-e, and 104-e</w:t>
      </w:r>
      <w:r w:rsidR="00C00B6E" w:rsidRPr="00A92890">
        <w:t xml:space="preserve"> meeting</w:t>
      </w:r>
      <w:r w:rsidR="00D34688" w:rsidRPr="00A92890">
        <w:t>s</w:t>
      </w:r>
      <w:r w:rsidR="00C00B6E" w:rsidRPr="00A92890">
        <w:t xml:space="preserve"> </w:t>
      </w:r>
      <w:r w:rsidR="00D34688" w:rsidRPr="00A92890">
        <w:t>related to the support of L1/L2-centric inter-cell mobility</w:t>
      </w:r>
      <w:r w:rsidR="00917097" w:rsidRPr="00A92890">
        <w:t>.</w:t>
      </w:r>
    </w:p>
    <w:p w14:paraId="2406677E" w14:textId="77777777" w:rsidR="007F1A8A" w:rsidRPr="00A92890" w:rsidRDefault="007F1A8A" w:rsidP="007F1A8A">
      <w:pPr>
        <w:snapToGrid w:val="0"/>
        <w:jc w:val="both"/>
      </w:pPr>
    </w:p>
    <w:p w14:paraId="4C070391" w14:textId="77777777" w:rsidR="00C829AC" w:rsidRPr="00A92890" w:rsidRDefault="00C829AC" w:rsidP="007F1A8A">
      <w:pPr>
        <w:pStyle w:val="ListParagraph"/>
        <w:numPr>
          <w:ilvl w:val="0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[Issue 2] For Rel.17 NR FeMIMO, on L1/L2-centric inter-cell mobility: </w:t>
      </w:r>
    </w:p>
    <w:p w14:paraId="4420A033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In RAN1#103-e, finalize scope and use cases for L1/L2-centric inter-cell mobility, including: </w:t>
      </w:r>
    </w:p>
    <w:p w14:paraId="32AEAC28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Applicability in various non-CA and CA setups such as intra-band and inter-band CA</w:t>
      </w:r>
    </w:p>
    <w:p w14:paraId="720F3606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Use cases in comparison to Rel.15 L3-based handover (HO) taking into account potential extension of DAPS-based Rel.16 mobility enhancement to FR2-FR2 HO</w:t>
      </w:r>
    </w:p>
    <w:p w14:paraId="4C98668F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The extent of RAN2 impact (MAC CE, RRC, user plane protocols)</w:t>
      </w:r>
    </w:p>
    <w:p w14:paraId="0DA368D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Network architecture, e.g. NSA vs. SA, inter-RAT scenarios</w:t>
      </w:r>
    </w:p>
    <w:p w14:paraId="50F91735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signaling), including</w:t>
      </w:r>
    </w:p>
    <w:p w14:paraId="7EFC1AB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incorporating non-serving cell information associated with TCI</w:t>
      </w:r>
    </w:p>
    <w:p w14:paraId="28994C0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DL measurements and UE reporting (e.g. L1-RSRP) associated with non-serving cell(s)</w:t>
      </w:r>
    </w:p>
    <w:p w14:paraId="1C074E7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bookmarkStart w:id="2" w:name="_Hlk49275654"/>
      <w:r w:rsidRPr="00A92890">
        <w:rPr>
          <w:sz w:val="20"/>
          <w:szCs w:val="20"/>
        </w:rPr>
        <w:t>UE behavior for reception of signals and non-UE-specific control and data channels associated with non-serving cell(s)</w:t>
      </w:r>
      <w:bookmarkEnd w:id="2"/>
      <w:r w:rsidRPr="00A92890">
        <w:rPr>
          <w:sz w:val="20"/>
          <w:szCs w:val="20"/>
        </w:rPr>
        <w:t xml:space="preserve"> </w:t>
      </w:r>
    </w:p>
    <w:p w14:paraId="5F5ADAF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UL-related enhancements, e.g. related to RA procedure including TA</w:t>
      </w:r>
    </w:p>
    <w:p w14:paraId="1EF5BFDA" w14:textId="60A0E35E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Beam-level event-driven mechanism for L1/L2-centric inter-cell mobility</w:t>
      </w:r>
    </w:p>
    <w:p w14:paraId="173F81E4" w14:textId="77777777" w:rsidR="007F1A8A" w:rsidRPr="00A92890" w:rsidRDefault="007F1A8A" w:rsidP="00FB5951">
      <w:pPr>
        <w:pStyle w:val="ListParagraph"/>
        <w:suppressAutoHyphens/>
        <w:autoSpaceDN w:val="0"/>
        <w:snapToGrid w:val="0"/>
        <w:ind w:left="2160"/>
        <w:contextualSpacing w:val="0"/>
        <w:textAlignment w:val="baseline"/>
        <w:rPr>
          <w:sz w:val="20"/>
          <w:szCs w:val="20"/>
        </w:rPr>
      </w:pPr>
    </w:p>
    <w:p w14:paraId="2E01C14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4CDD7D9" w14:textId="77777777" w:rsidR="00C829AC" w:rsidRPr="00A92890" w:rsidRDefault="00C829AC" w:rsidP="007F1A8A">
      <w:pPr>
        <w:snapToGrid w:val="0"/>
        <w:jc w:val="both"/>
        <w:rPr>
          <w:rFonts w:eastAsia="Batang"/>
        </w:rPr>
      </w:pPr>
      <w:r w:rsidRPr="00A92890">
        <w:rPr>
          <w:rFonts w:eastAsia="Batang"/>
        </w:rPr>
        <w:t xml:space="preserve">On Rel-17 enhancements to enable L1/L2-centric inter-cell mobility: </w:t>
      </w:r>
    </w:p>
    <w:p w14:paraId="77DE8EDF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use cases are assumed: </w:t>
      </w:r>
    </w:p>
    <w:p w14:paraId="301C088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Network architecture: </w:t>
      </w:r>
    </w:p>
    <w:p w14:paraId="3E81200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NSA, i.e. LTE PCell and NR-PSCell </w:t>
      </w:r>
    </w:p>
    <w:p w14:paraId="7AB7853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SA</w:t>
      </w:r>
    </w:p>
    <w:p w14:paraId="6D7E576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Intra-band CA </w:t>
      </w:r>
    </w:p>
    <w:p w14:paraId="22ED300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If inter-band CA is also included</w:t>
      </w:r>
    </w:p>
    <w:p w14:paraId="0058CD1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 RAT (excluding inter-RAT) </w:t>
      </w:r>
    </w:p>
    <w:p w14:paraId="69BFF26B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Intra-frequency scenario: </w:t>
      </w:r>
    </w:p>
    <w:p w14:paraId="03C3ECA3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SSBs of non-serving cells have the same center frequency and SCS as the SSBs of the serving cell</w:t>
      </w:r>
    </w:p>
    <w:p w14:paraId="0E59CB1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An SSB of a non-serving cell is associated with a PCI different from the PCI of the serving cell</w:t>
      </w:r>
    </w:p>
    <w:p w14:paraId="25D0C25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Support for inter-frequency scenario</w:t>
      </w:r>
    </w:p>
    <w:p w14:paraId="54BD4C8A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to support intra-DU only operation, or whether inter-DU is also allowed</w:t>
      </w:r>
    </w:p>
    <w:p w14:paraId="7D2E3367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enhancement scope is assumed: </w:t>
      </w:r>
    </w:p>
    <w:p w14:paraId="7076FE7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lastRenderedPageBreak/>
        <w:t xml:space="preserve">Facilitating measurement and reporting of non-serving RSs via incorporating non-serving cell info with some TCI(s), along with the necessary measurement and reporting scheme(s) </w:t>
      </w:r>
    </w:p>
    <w:p w14:paraId="200DD5D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Detailed/exact method(s)</w:t>
      </w:r>
    </w:p>
    <w:p w14:paraId="4DD2014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this also implies the support of beam indication (TCI state update along with the necessary TCI state activation) for TCI(s) associated with non-serving cell RS(s)</w:t>
      </w:r>
    </w:p>
    <w:p w14:paraId="0C8909D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Metric for the measurement and reporting, e.g. L1-RSRP or L3-RSRP or time- or spatial-domain-filtered L1-RSRP</w:t>
      </w:r>
    </w:p>
    <w:p w14:paraId="004C5F25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Beam-level event-driven mechanism, using serving cell RS and/or non-serving cell RS</w:t>
      </w:r>
    </w:p>
    <w:p w14:paraId="0CEACB96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Facilitate serving cell to provide configurations for non-serving cell SSBs via RRC </w:t>
      </w:r>
    </w:p>
    <w:p w14:paraId="2690F55D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details for the configurations, e.g. time/frequency location, transmission power, etc.</w:t>
      </w:r>
    </w:p>
    <w:p w14:paraId="2221B7A9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other information needed for inter-cell mobility</w:t>
      </w:r>
    </w:p>
    <w:p w14:paraId="028F928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Note: In RAN1's understanding, non-serving cell SSB and non-serving cell RS can be part of the serving cell configuration</w:t>
      </w:r>
    </w:p>
    <w:p w14:paraId="58F5ACE8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</w:rPr>
        <w:t xml:space="preserve">FFS: The following enhancement scope is assumed by RAN1: </w:t>
      </w:r>
    </w:p>
    <w:p w14:paraId="63F730A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Whether RRC reconfiguration signaling is needed or not when a TCI associated with non-serving cell RS is indicated </w:t>
      </w:r>
    </w:p>
    <w:p w14:paraId="1D11C90A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A non-serving cell RS is an RS that is or has an SSB of a non-serving cell as direct or indirect QCL source </w:t>
      </w:r>
    </w:p>
    <w:p w14:paraId="4E5A46B8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This implies no C-RNTI update when UE receives DL channel RS associated to non-serving cell RS as QCL source. </w:t>
      </w:r>
    </w:p>
    <w:p w14:paraId="7857E29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FFS whether TCI associated with non-serving cell can be indicated to or are applicable for all channels.</w:t>
      </w:r>
    </w:p>
    <w:p w14:paraId="5E9DEF89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6BFB4BA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UE needs/can change serving cell during L1/L2-centric inter-cell mobility.</w:t>
      </w:r>
    </w:p>
    <w:p w14:paraId="22936E8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above assumption to be verified by RAN2</w:t>
      </w:r>
    </w:p>
    <w:p w14:paraId="0D036DD6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79960D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3224F77E" w14:textId="77777777" w:rsidR="00C829AC" w:rsidRPr="00A92890" w:rsidRDefault="00C829AC" w:rsidP="007F1A8A">
      <w:pPr>
        <w:snapToGrid w:val="0"/>
        <w:jc w:val="both"/>
      </w:pPr>
      <w:r w:rsidRPr="00A92890">
        <w:t xml:space="preserve">On Rel.17 multi beam measurement/reporting enhancements </w:t>
      </w:r>
      <w:r w:rsidRPr="00A92890">
        <w:rPr>
          <w:color w:val="000000"/>
        </w:rPr>
        <w:t>for L1/L2-centric inter-cell mobility and inter-cell mTRP</w:t>
      </w:r>
      <w:r w:rsidRPr="00A92890">
        <w:t>:</w:t>
      </w:r>
    </w:p>
    <w:p w14:paraId="4F375904" w14:textId="77777777" w:rsidR="00C829AC" w:rsidRPr="00A92890" w:rsidRDefault="00C829AC" w:rsidP="007F1A8A">
      <w:pPr>
        <w:pStyle w:val="ListParagraph"/>
        <w:numPr>
          <w:ilvl w:val="0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A quality of up to K beams associated at least with non-serving cell(s) can be reported in a single CSI reporting instance </w:t>
      </w:r>
    </w:p>
    <w:p w14:paraId="195EC9CB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For each beam, the UE can report at least: (1) a Measured RS Indicator, and (2) a Beam Metric associated with the Measured RS Indicator</w:t>
      </w:r>
    </w:p>
    <w:p w14:paraId="64703454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Maximum value of K </w:t>
      </w:r>
    </w:p>
    <w:p w14:paraId="3F947493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If K is fixed, configured, reported by UE capability, or dynamically selected  </w:t>
      </w:r>
    </w:p>
    <w:p w14:paraId="3D49011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The type of beam metric (e.g. L1-RSRP, L3-RSRP, or hybrid L1/L3-RSRP) and related measurement behavior </w:t>
      </w:r>
    </w:p>
    <w:p w14:paraId="34BCD44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FFS: Whether or not beam reporting associated with non-serving cell(s) can be mixed with that with serving-cell in one reporting instance</w:t>
      </w:r>
    </w:p>
    <w:p w14:paraId="4B29B091" w14:textId="77777777" w:rsidR="00C829AC" w:rsidRPr="00A92890" w:rsidRDefault="00C829AC" w:rsidP="007F1A8A">
      <w:pPr>
        <w:snapToGrid w:val="0"/>
        <w:jc w:val="both"/>
      </w:pPr>
      <w:r w:rsidRPr="00A92890">
        <w:t>At the end of RAN1#104-e, send an LS to RAN2 with all the RAN1-related inter-cell mobility agreements done so far during Rel17.</w:t>
      </w:r>
    </w:p>
    <w:p w14:paraId="3677E612" w14:textId="6CE396D4" w:rsidR="00141CAE" w:rsidRDefault="00141CAE" w:rsidP="007F1A8A">
      <w:pPr>
        <w:snapToGrid w:val="0"/>
        <w:jc w:val="both"/>
      </w:pPr>
    </w:p>
    <w:p w14:paraId="721E27F1" w14:textId="77777777" w:rsidR="002C7EF6" w:rsidRPr="00A92890" w:rsidRDefault="002C7EF6" w:rsidP="007F1A8A">
      <w:pPr>
        <w:snapToGrid w:val="0"/>
        <w:jc w:val="both"/>
      </w:pPr>
    </w:p>
    <w:p w14:paraId="2D3857E5" w14:textId="77777777" w:rsidR="000856AD" w:rsidRPr="003A2489" w:rsidRDefault="000856AD" w:rsidP="000856AD">
      <w:pPr>
        <w:snapToGrid w:val="0"/>
        <w:rPr>
          <w:rFonts w:eastAsia="Batang"/>
        </w:rPr>
      </w:pPr>
      <w:r w:rsidRPr="003A2489">
        <w:t xml:space="preserve">On Rel.17 multi beam measurement/reporting enhancements </w:t>
      </w:r>
      <w:r w:rsidRPr="003A2489">
        <w:rPr>
          <w:color w:val="000000"/>
        </w:rPr>
        <w:t>for L1/L2-centric inter-cell mobility and inter-cell mTRP</w:t>
      </w:r>
      <w:r w:rsidRPr="003A2489">
        <w:rPr>
          <w:rFonts w:eastAsia="Batang"/>
        </w:rPr>
        <w:t>:</w:t>
      </w:r>
    </w:p>
    <w:p w14:paraId="6590C31B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Rel.15 L1-RSRP is used as reporting quantity for measurement and reporting of non-serving-cell(s)</w:t>
      </w:r>
    </w:p>
    <w:p w14:paraId="7D99D79E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Support SSB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>and inter-cell mTRP, and Rel.15 SS-RSRP calculated from SSB of non-serving cell(s)</w:t>
      </w:r>
    </w:p>
    <w:p w14:paraId="11F1CF6C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Whether the measurement for SS-RSRP is limited within SMTC</w:t>
      </w:r>
    </w:p>
    <w:p w14:paraId="04AF2201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4DB82394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 is confirmed, Rel.15 CSI-RSRP is also supported  </w:t>
      </w:r>
    </w:p>
    <w:p w14:paraId="2C39CCD8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Whether the support applies to CSI-RS with or without QCL source, or both</w:t>
      </w:r>
    </w:p>
    <w:p w14:paraId="40743969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The number of non-serving cell(s) for measurement/reporting </w:t>
      </w:r>
    </w:p>
    <w:p w14:paraId="45CB3ACD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time behavior of the reporting, i.e. periodic, semi-persistent, aperiodic, or UE-initiated</w:t>
      </w:r>
    </w:p>
    <w:p w14:paraId="209B9328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If other reporting quantities are supported, e.g. L3-RSRP, hybrid L1/L3-RSRP</w:t>
      </w:r>
    </w:p>
    <w:p w14:paraId="0B69205A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5B0AE6B9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 xml:space="preserve">FFS: Timing assumption </w:t>
      </w:r>
      <w:r w:rsidRPr="003A2489">
        <w:rPr>
          <w:sz w:val="20"/>
          <w:szCs w:val="20"/>
          <w:lang w:eastAsia="zh-CN"/>
        </w:rPr>
        <w:t>(e.g. time of arrival and time of the measurement)</w:t>
      </w:r>
      <w:r w:rsidRPr="003A2489">
        <w:rPr>
          <w:bCs/>
          <w:sz w:val="20"/>
          <w:szCs w:val="20"/>
        </w:rPr>
        <w:t xml:space="preserve"> for measurement of non-serving cell RS measurement</w:t>
      </w:r>
    </w:p>
    <w:p w14:paraId="0A1108D5" w14:textId="09EF3C2B" w:rsidR="000E77E9" w:rsidRPr="000856AD" w:rsidRDefault="000E77E9" w:rsidP="007F1A8A">
      <w:pPr>
        <w:snapToGrid w:val="0"/>
        <w:jc w:val="both"/>
        <w:rPr>
          <w:lang w:val="x-none"/>
        </w:rPr>
      </w:pPr>
    </w:p>
    <w:p w14:paraId="39E3FB96" w14:textId="77777777" w:rsidR="002C7EF6" w:rsidRPr="00A92890" w:rsidRDefault="002C7EF6" w:rsidP="007F1A8A">
      <w:pPr>
        <w:snapToGrid w:val="0"/>
        <w:jc w:val="both"/>
      </w:pPr>
    </w:p>
    <w:p w14:paraId="0F5DABBE" w14:textId="77777777" w:rsidR="00A4101F" w:rsidRPr="00A25726" w:rsidRDefault="00A4101F" w:rsidP="00A4101F">
      <w:pPr>
        <w:snapToGrid w:val="0"/>
      </w:pPr>
      <w:r w:rsidRPr="00A25726">
        <w:t xml:space="preserve">On Rel.17 enhancements </w:t>
      </w:r>
      <w:r w:rsidRPr="00A25726">
        <w:rPr>
          <w:color w:val="000000"/>
        </w:rPr>
        <w:t xml:space="preserve">for L1/L2-centric inter-cell mobility, </w:t>
      </w:r>
    </w:p>
    <w:p w14:paraId="17924090" w14:textId="77777777" w:rsidR="00A4101F" w:rsidRPr="00A25726" w:rsidRDefault="00A4101F" w:rsidP="00A4101F">
      <w:pPr>
        <w:numPr>
          <w:ilvl w:val="0"/>
          <w:numId w:val="31"/>
        </w:numPr>
        <w:snapToGrid w:val="0"/>
        <w:rPr>
          <w:color w:val="000000"/>
        </w:rPr>
      </w:pPr>
      <w:r w:rsidRPr="00A25726"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60C3920D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BM configured for non-serving cell(s) for DL QCL and UL TX spatial references</w:t>
      </w:r>
    </w:p>
    <w:p w14:paraId="49C6F05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tracking (TRS) configured for non-serving cell(s) for DL QCL and UL TX spatial references</w:t>
      </w:r>
    </w:p>
    <w:p w14:paraId="6FFEF77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SSB configured for non-serving cell(s) for UL TX spatial references</w:t>
      </w:r>
    </w:p>
    <w:p w14:paraId="23699E54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SRS for BM configured for non-serving cell(s) for UL TX spatial references</w:t>
      </w:r>
    </w:p>
    <w:p w14:paraId="25EBB23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 xml:space="preserve">FFS: whether to support CSI-RS for mobility </w:t>
      </w:r>
    </w:p>
    <w:p w14:paraId="5E21B110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other source RS(s) potentially agreed later for intra-cell mobility</w:t>
      </w:r>
    </w:p>
    <w:p w14:paraId="4D92AA0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CSI-RS for BM and tracking configured for non-serving cell(s) and without non-serving cell SSB as QCL-TypeD source</w:t>
      </w: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54C43CC4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9E3A1" w14:textId="77777777" w:rsidR="00974194" w:rsidRDefault="00974194" w:rsidP="00A0385F">
      <w:r>
        <w:separator/>
      </w:r>
    </w:p>
  </w:endnote>
  <w:endnote w:type="continuationSeparator" w:id="0">
    <w:p w14:paraId="6E8CB36E" w14:textId="77777777" w:rsidR="00974194" w:rsidRDefault="0097419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2C258" w14:textId="77777777" w:rsidR="00974194" w:rsidRDefault="00974194" w:rsidP="00A0385F">
      <w:r>
        <w:separator/>
      </w:r>
    </w:p>
  </w:footnote>
  <w:footnote w:type="continuationSeparator" w:id="0">
    <w:p w14:paraId="0B2FCD5C" w14:textId="77777777" w:rsidR="00974194" w:rsidRDefault="0097419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74194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865A0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B58E-39B7-4B3E-BAD9-FF32FBFD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28</cp:revision>
  <cp:lastPrinted>2002-04-23T06:10:00Z</cp:lastPrinted>
  <dcterms:created xsi:type="dcterms:W3CDTF">2021-01-31T23:25:00Z</dcterms:created>
  <dcterms:modified xsi:type="dcterms:W3CDTF">2021-02-06T00:00:00Z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